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产品名称：HDMI/VGA</w:t>
      </w:r>
      <w:r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高清编</w:t>
      </w:r>
      <w:r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码器</w:t>
      </w:r>
    </w:p>
    <w:p>
      <w:pPr>
        <w:spacing w:line="240" w:lineRule="auto"/>
        <w:contextualSpacing/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产品型号：</w:t>
      </w:r>
      <w:r>
        <w:rPr>
          <w:rFonts w:hint="eastAsia" w:ascii="微软雅黑" w:hAnsi="微软雅黑" w:eastAsia="微软雅黑" w:cs="微软雅黑"/>
          <w:b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HV3520D</w:t>
      </w:r>
    </w:p>
    <w:p>
      <w:pPr>
        <w:spacing w:line="240" w:lineRule="auto"/>
        <w:contextualSpacing/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</w:t>
      </w:r>
      <w:r>
        <w:drawing>
          <wp:inline distT="0" distB="0" distL="114300" distR="114300">
            <wp:extent cx="4723130" cy="3405505"/>
            <wp:effectExtent l="0" t="0" r="1270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3130" cy="3405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contextualSpacing/>
        <w:rPr>
          <w:rFonts w:hint="eastAsia" w:cs="宋体" w:asciiTheme="majorEastAsia" w:hAnsiTheme="majorEastAsia" w:eastAsiaTheme="majorEastAsia"/>
          <w:b/>
          <w:bCs w:val="0"/>
          <w:color w:val="C00000"/>
          <w:kern w:val="0"/>
          <w:szCs w:val="21"/>
          <w:lang w:val="en-US" w:eastAsia="zh-CN"/>
        </w:rPr>
      </w:pPr>
    </w:p>
    <w:p>
      <w:pPr>
        <w:spacing w:line="240" w:lineRule="auto"/>
        <w:contextualSpacing/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480" w:lineRule="auto"/>
        <w:contextualSpacing/>
        <w:rPr>
          <w:rFonts w:hint="eastAsia" w:cs="宋体" w:asciiTheme="majorEastAsia" w:hAnsiTheme="majorEastAsia" w:eastAsiaTheme="majorEastAsia"/>
          <w:b/>
          <w:bCs w:val="0"/>
          <w:color w:val="C00000"/>
          <w:kern w:val="0"/>
          <w:sz w:val="52"/>
          <w:szCs w:val="52"/>
        </w:rPr>
      </w:pPr>
      <w:r>
        <w:rPr>
          <w:rFonts w:hint="eastAsia" w:cs="宋体" w:asciiTheme="majorEastAsia" w:hAnsiTheme="majorEastAsia" w:eastAsiaTheme="majorEastAsia"/>
          <w:b/>
          <w:bCs w:val="0"/>
          <w:color w:val="C00000"/>
          <w:kern w:val="0"/>
          <w:sz w:val="52"/>
          <w:szCs w:val="52"/>
          <w:lang w:eastAsia="zh-CN"/>
        </w:rPr>
        <w:t>一、</w:t>
      </w:r>
      <w:r>
        <w:rPr>
          <w:rFonts w:hint="eastAsia" w:cs="宋体" w:asciiTheme="majorEastAsia" w:hAnsiTheme="majorEastAsia" w:eastAsiaTheme="majorEastAsia"/>
          <w:b/>
          <w:bCs w:val="0"/>
          <w:color w:val="C00000"/>
          <w:kern w:val="0"/>
          <w:sz w:val="52"/>
          <w:szCs w:val="52"/>
        </w:rPr>
        <w:t>产品概述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contextualSpacing/>
        <w:jc w:val="both"/>
        <w:textAlignment w:val="auto"/>
        <w:outlineLvl w:val="9"/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H</w:t>
      </w: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V</w:t>
      </w:r>
      <w:r>
        <w:rPr>
          <w:rFonts w:hint="default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3520D</w:t>
      </w: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高清编码</w:t>
      </w: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器，</w:t>
      </w: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是一款专业的高清视频编码及复用产品，该产品支持H.264编码格式，可同时对视频进行编码</w:t>
      </w: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输出TS双码流设计，可根据不同需要设置每一路的输出码流分辨率，该设备具有高集成，低成本的优势</w:t>
      </w: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可广泛应用于各种数字电视播出</w:t>
      </w: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，安防，直播，录播</w:t>
      </w: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系统中</w:t>
      </w: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支持1080P、720P编码</w:t>
      </w: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；编码延时性小于</w:t>
      </w: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1S。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contextualSpacing/>
        <w:jc w:val="both"/>
        <w:textAlignment w:val="auto"/>
        <w:outlineLvl w:val="9"/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contextualSpacing/>
        <w:rPr>
          <w:rFonts w:hint="eastAsia" w:cs="宋体" w:asciiTheme="majorEastAsia" w:hAnsiTheme="majorEastAsia" w:eastAsiaTheme="majorEastAsia"/>
          <w:b/>
          <w:bCs w:val="0"/>
          <w:color w:val="C00000"/>
          <w:kern w:val="0"/>
          <w:sz w:val="52"/>
          <w:szCs w:val="52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 w:val="0"/>
          <w:color w:val="C00000"/>
          <w:kern w:val="0"/>
          <w:sz w:val="52"/>
          <w:szCs w:val="52"/>
          <w:lang w:eastAsia="zh-CN"/>
        </w:rPr>
        <w:t xml:space="preserve">二、产品特点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contextualSpacing/>
        <w:jc w:val="both"/>
        <w:textAlignment w:val="auto"/>
        <w:outlineLvl w:val="9"/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• H.264编码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contextualSpacing/>
        <w:jc w:val="both"/>
        <w:textAlignment w:val="auto"/>
        <w:outlineLvl w:val="9"/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• 网络接口采用100M 全双工模式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contextualSpacing/>
        <w:jc w:val="both"/>
        <w:textAlignment w:val="auto"/>
        <w:outlineLvl w:val="9"/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• 1通道HDMI输入</w:t>
      </w: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或者</w:t>
      </w: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1通道</w:t>
      </w: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VGA输入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contextualSpacing/>
        <w:jc w:val="both"/>
        <w:textAlignment w:val="auto"/>
        <w:outlineLvl w:val="9"/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• 支持高达720P，1080P的高清视频输入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contextualSpacing/>
        <w:jc w:val="both"/>
        <w:textAlignment w:val="auto"/>
        <w:outlineLvl w:val="9"/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• 支持图像参数设置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contextualSpacing/>
        <w:jc w:val="both"/>
        <w:textAlignment w:val="auto"/>
        <w:outlineLvl w:val="9"/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• 支持双码流输出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contextualSpacing/>
        <w:jc w:val="both"/>
        <w:textAlignment w:val="auto"/>
        <w:outlineLvl w:val="9"/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• 支持流分辨率设置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contextualSpacing/>
        <w:jc w:val="both"/>
        <w:textAlignment w:val="auto"/>
        <w:outlineLvl w:val="9"/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• 支持一键恢复默认配置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contextualSpacing/>
        <w:jc w:val="both"/>
        <w:textAlignment w:val="auto"/>
        <w:outlineLvl w:val="9"/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• 低功耗电源设计</w:t>
      </w:r>
    </w:p>
    <w:p>
      <w:pPr>
        <w:spacing w:line="480" w:lineRule="auto"/>
        <w:contextualSpacing/>
        <w:rPr>
          <w:rFonts w:hint="eastAsia" w:cs="宋体" w:asciiTheme="majorEastAsia" w:hAnsiTheme="majorEastAsia" w:eastAsiaTheme="majorEastAsia"/>
          <w:b/>
          <w:bCs w:val="0"/>
          <w:color w:val="C00000"/>
          <w:kern w:val="0"/>
          <w:sz w:val="52"/>
          <w:szCs w:val="52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 w:val="0"/>
          <w:color w:val="C00000"/>
          <w:kern w:val="0"/>
          <w:sz w:val="52"/>
          <w:szCs w:val="52"/>
          <w:lang w:eastAsia="zh-CN"/>
        </w:rPr>
        <w:t>三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 w:val="0"/>
          <w:color w:val="C00000"/>
          <w:kern w:val="0"/>
          <w:sz w:val="52"/>
          <w:szCs w:val="52"/>
          <w:lang w:eastAsia="zh-CN"/>
        </w:rPr>
        <w:t>：产品参数</w:t>
      </w:r>
    </w:p>
    <w:tbl>
      <w:tblPr>
        <w:tblStyle w:val="4"/>
        <w:tblW w:w="10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6"/>
        <w:gridCol w:w="7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886" w:type="dxa"/>
          </w:tcPr>
          <w:p>
            <w:pPr>
              <w:spacing w:line="480" w:lineRule="auto"/>
              <w:contextualSpacing/>
              <w:jc w:val="center"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视频输入</w:t>
            </w:r>
          </w:p>
        </w:tc>
        <w:tc>
          <w:tcPr>
            <w:tcW w:w="7143" w:type="dxa"/>
          </w:tcPr>
          <w:p>
            <w:pPr>
              <w:spacing w:line="480" w:lineRule="auto"/>
              <w:ind w:leftChars="100"/>
              <w:contextualSpacing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HDMI/VGA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886" w:type="dxa"/>
          </w:tcPr>
          <w:p>
            <w:pPr>
              <w:spacing w:line="480" w:lineRule="auto"/>
              <w:contextualSpacing/>
              <w:jc w:val="center"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分辨率</w:t>
            </w:r>
          </w:p>
        </w:tc>
        <w:tc>
          <w:tcPr>
            <w:tcW w:w="7143" w:type="dxa"/>
          </w:tcPr>
          <w:p>
            <w:pPr>
              <w:spacing w:line="480" w:lineRule="auto"/>
              <w:ind w:leftChars="100"/>
              <w:contextualSpacing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1920*1080P,1280*720P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886" w:type="dxa"/>
          </w:tcPr>
          <w:p>
            <w:pPr>
              <w:spacing w:line="480" w:lineRule="auto"/>
              <w:contextualSpacing/>
              <w:jc w:val="center"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编码</w:t>
            </w: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格式</w:t>
            </w:r>
          </w:p>
        </w:tc>
        <w:tc>
          <w:tcPr>
            <w:tcW w:w="7143" w:type="dxa"/>
          </w:tcPr>
          <w:p>
            <w:pPr>
              <w:spacing w:line="480" w:lineRule="auto"/>
              <w:ind w:leftChars="100"/>
              <w:contextualSpacing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886" w:type="dxa"/>
          </w:tcPr>
          <w:p>
            <w:pPr>
              <w:spacing w:line="480" w:lineRule="auto"/>
              <w:contextualSpacing/>
              <w:jc w:val="center"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编码延时</w:t>
            </w:r>
          </w:p>
        </w:tc>
        <w:tc>
          <w:tcPr>
            <w:tcW w:w="7143" w:type="dxa"/>
          </w:tcPr>
          <w:p>
            <w:pPr>
              <w:spacing w:line="480" w:lineRule="auto"/>
              <w:ind w:leftChars="100"/>
              <w:contextualSpacing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延时小于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886" w:type="dxa"/>
          </w:tcPr>
          <w:p>
            <w:pPr>
              <w:spacing w:line="480" w:lineRule="auto"/>
              <w:contextualSpacing/>
              <w:jc w:val="center"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编码效率</w:t>
            </w:r>
          </w:p>
        </w:tc>
        <w:tc>
          <w:tcPr>
            <w:tcW w:w="7143" w:type="dxa"/>
          </w:tcPr>
          <w:p>
            <w:pPr>
              <w:spacing w:line="480" w:lineRule="auto"/>
              <w:ind w:leftChars="100"/>
              <w:contextualSpacing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0.8Mbps~12Mbps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886" w:type="dxa"/>
          </w:tcPr>
          <w:p>
            <w:pPr>
              <w:spacing w:line="480" w:lineRule="auto"/>
              <w:contextualSpacing/>
              <w:jc w:val="center"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视频预处理</w:t>
            </w:r>
          </w:p>
        </w:tc>
        <w:tc>
          <w:tcPr>
            <w:tcW w:w="7143" w:type="dxa"/>
          </w:tcPr>
          <w:p>
            <w:pPr>
              <w:spacing w:line="480" w:lineRule="auto"/>
              <w:ind w:leftChars="100"/>
              <w:contextualSpacing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去隔行，噪声抑制，锐化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886" w:type="dxa"/>
          </w:tcPr>
          <w:p>
            <w:pPr>
              <w:spacing w:line="480" w:lineRule="auto"/>
              <w:contextualSpacing/>
              <w:jc w:val="center"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频</w:t>
            </w: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率</w:t>
            </w:r>
          </w:p>
        </w:tc>
        <w:tc>
          <w:tcPr>
            <w:tcW w:w="7143" w:type="dxa"/>
          </w:tcPr>
          <w:p>
            <w:pPr>
              <w:spacing w:line="480" w:lineRule="auto"/>
              <w:ind w:leftChars="100"/>
              <w:contextualSpacing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自适应、输出采样率可选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886" w:type="dxa"/>
          </w:tcPr>
          <w:p>
            <w:pPr>
              <w:spacing w:line="480" w:lineRule="auto"/>
              <w:contextualSpacing/>
              <w:jc w:val="center"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采样精度</w:t>
            </w:r>
          </w:p>
        </w:tc>
        <w:tc>
          <w:tcPr>
            <w:tcW w:w="7143" w:type="dxa"/>
          </w:tcPr>
          <w:p>
            <w:pPr>
              <w:spacing w:line="480" w:lineRule="auto"/>
              <w:ind w:leftChars="100"/>
              <w:contextualSpacing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 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886" w:type="dxa"/>
          </w:tcPr>
          <w:p>
            <w:pPr>
              <w:spacing w:line="480" w:lineRule="auto"/>
              <w:contextualSpacing/>
              <w:jc w:val="center"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网口</w:t>
            </w: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7143" w:type="dxa"/>
          </w:tcPr>
          <w:p>
            <w:pPr>
              <w:spacing w:line="480" w:lineRule="auto"/>
              <w:ind w:leftChars="100"/>
              <w:contextualSpacing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RJ45/100M</w:t>
            </w:r>
            <w:r>
              <w:rPr>
                <w:rFonts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886" w:type="dxa"/>
          </w:tcPr>
          <w:p>
            <w:pPr>
              <w:spacing w:line="480" w:lineRule="auto"/>
              <w:contextualSpacing/>
              <w:jc w:val="center"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系统</w:t>
            </w: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升级</w:t>
            </w:r>
          </w:p>
        </w:tc>
        <w:tc>
          <w:tcPr>
            <w:tcW w:w="7143" w:type="dxa"/>
          </w:tcPr>
          <w:p>
            <w:pPr>
              <w:spacing w:line="480" w:lineRule="auto"/>
              <w:ind w:leftChars="100"/>
              <w:contextualSpacing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可通过网络进行软件升级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886" w:type="dxa"/>
          </w:tcPr>
          <w:p>
            <w:pPr>
              <w:spacing w:line="480" w:lineRule="auto"/>
              <w:contextualSpacing/>
              <w:jc w:val="center"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尺寸</w:t>
            </w:r>
          </w:p>
        </w:tc>
        <w:tc>
          <w:tcPr>
            <w:tcW w:w="7143" w:type="dxa"/>
          </w:tcPr>
          <w:p>
            <w:pPr>
              <w:spacing w:line="480" w:lineRule="auto"/>
              <w:ind w:leftChars="100"/>
              <w:contextualSpacing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25*13*5CM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886" w:type="dxa"/>
          </w:tcPr>
          <w:p>
            <w:pPr>
              <w:spacing w:line="480" w:lineRule="auto"/>
              <w:contextualSpacing/>
              <w:jc w:val="center"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重量</w:t>
            </w:r>
          </w:p>
        </w:tc>
        <w:tc>
          <w:tcPr>
            <w:tcW w:w="7143" w:type="dxa"/>
          </w:tcPr>
          <w:p>
            <w:pPr>
              <w:spacing w:line="480" w:lineRule="auto"/>
              <w:ind w:leftChars="100"/>
              <w:contextualSpacing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886" w:type="dxa"/>
          </w:tcPr>
          <w:p>
            <w:pPr>
              <w:spacing w:line="480" w:lineRule="auto"/>
              <w:contextualSpacing/>
              <w:jc w:val="center"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温度范围</w:t>
            </w:r>
          </w:p>
        </w:tc>
        <w:tc>
          <w:tcPr>
            <w:tcW w:w="7143" w:type="dxa"/>
          </w:tcPr>
          <w:p>
            <w:pPr>
              <w:spacing w:line="480" w:lineRule="auto"/>
              <w:ind w:leftChars="100"/>
              <w:contextualSpacing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0~45℃(工作)，-20~80℃(存储)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886" w:type="dxa"/>
          </w:tcPr>
          <w:p>
            <w:pPr>
              <w:spacing w:line="480" w:lineRule="auto"/>
              <w:contextualSpacing/>
              <w:jc w:val="center"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电源</w:t>
            </w:r>
          </w:p>
        </w:tc>
        <w:tc>
          <w:tcPr>
            <w:tcW w:w="7143" w:type="dxa"/>
          </w:tcPr>
          <w:p>
            <w:pPr>
              <w:spacing w:line="480" w:lineRule="auto"/>
              <w:ind w:leftChars="100"/>
              <w:contextualSpacing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12V/DC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886" w:type="dxa"/>
          </w:tcPr>
          <w:p>
            <w:pPr>
              <w:spacing w:line="480" w:lineRule="auto"/>
              <w:contextualSpacing/>
              <w:jc w:val="center"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功耗</w:t>
            </w:r>
          </w:p>
        </w:tc>
        <w:tc>
          <w:tcPr>
            <w:tcW w:w="7143" w:type="dxa"/>
          </w:tcPr>
          <w:p>
            <w:pPr>
              <w:spacing w:line="480" w:lineRule="auto"/>
              <w:ind w:leftChars="100"/>
              <w:contextualSpacing/>
              <w:rPr>
                <w:rFonts w:hint="eastAsia" w:cs="宋体" w:asciiTheme="majorEastAsia" w:hAnsiTheme="majorEastAsia" w:eastAsiaTheme="majorEastAsia"/>
                <w:b/>
                <w:bCs w:val="0"/>
                <w:color w:val="C00000"/>
                <w:kern w:val="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5W</w:t>
            </w:r>
          </w:p>
        </w:tc>
      </w:tr>
    </w:tbl>
    <w:p>
      <w:pPr>
        <w:spacing w:line="480" w:lineRule="auto"/>
        <w:contextualSpacing/>
        <w:rPr>
          <w:rFonts w:hint="eastAsia" w:cs="宋体" w:asciiTheme="majorEastAsia" w:hAnsiTheme="majorEastAsia" w:eastAsiaTheme="majorEastAsia"/>
          <w:b/>
          <w:bCs w:val="0"/>
          <w:color w:val="C00000"/>
          <w:kern w:val="0"/>
          <w:sz w:val="52"/>
          <w:szCs w:val="52"/>
          <w:lang w:eastAsia="zh-CN"/>
        </w:rPr>
      </w:pPr>
    </w:p>
    <w:p>
      <w:pPr>
        <w:spacing w:line="360" w:lineRule="exact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sectPr>
      <w:pgSz w:w="11906" w:h="16838"/>
      <w:pgMar w:top="283" w:right="283" w:bottom="283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75D27"/>
    <w:rsid w:val="25E5537E"/>
    <w:rsid w:val="2AE9636E"/>
    <w:rsid w:val="329D676D"/>
    <w:rsid w:val="33BA5FBF"/>
    <w:rsid w:val="3CDE137D"/>
    <w:rsid w:val="3F874A16"/>
    <w:rsid w:val="459713E1"/>
    <w:rsid w:val="473E4931"/>
    <w:rsid w:val="49F23CBB"/>
    <w:rsid w:val="570C2F09"/>
    <w:rsid w:val="586A7ECC"/>
    <w:rsid w:val="5DC501DB"/>
    <w:rsid w:val="65ED1DC0"/>
    <w:rsid w:val="67267B45"/>
    <w:rsid w:val="6D760C77"/>
    <w:rsid w:val="75F42594"/>
    <w:rsid w:val="79504C7C"/>
    <w:rsid w:val="7B091B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2017-09-14T08:23:29Z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