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产品名称：200万10倍4寸红外小球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产品型号：DH73-2M10</w:t>
      </w:r>
      <w:bookmarkStart w:id="0" w:name="_GoBack"/>
      <w:bookmarkEnd w:id="0"/>
    </w:p>
    <w:p>
      <w:r>
        <w:rPr>
          <w:rFonts w:hint="eastAsia"/>
          <w:lang w:val="en-US" w:eastAsia="zh-CN"/>
        </w:rPr>
        <w:t xml:space="preserve">       </w:t>
      </w:r>
    </w:p>
    <w:p>
      <w:r>
        <w:drawing>
          <wp:inline distT="0" distB="0" distL="114300" distR="114300">
            <wp:extent cx="6128385" cy="2576830"/>
            <wp:effectExtent l="0" t="0" r="571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838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26860" cy="5833110"/>
            <wp:effectExtent l="0" t="0" r="2540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583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60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60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60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60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支持10倍光学变倍，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60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60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H.264/MJPEG</w:t>
      </w:r>
      <w:r>
        <w:rPr>
          <w:rFonts w:hint="eastAsia" w:cs="Arial"/>
          <w:bCs/>
          <w:color w:val="000000"/>
          <w:kern w:val="0"/>
          <w:sz w:val="24"/>
          <w:szCs w:val="24"/>
        </w:rPr>
        <w:t>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60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 xml:space="preserve">水平运行速度高达200度/S,支持RTSP实时流协议                                         </w:t>
      </w:r>
    </w:p>
    <w:p>
      <w:pPr>
        <w:pStyle w:val="6"/>
        <w:numPr>
          <w:ilvl w:val="0"/>
          <w:numId w:val="0"/>
        </w:numPr>
        <w:spacing w:line="60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200ms                                    </w:t>
      </w:r>
    </w:p>
    <w:p>
      <w:pPr>
        <w:pStyle w:val="6"/>
        <w:numPr>
          <w:ilvl w:val="0"/>
          <w:numId w:val="0"/>
        </w:numPr>
        <w:spacing w:line="60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60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60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60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340610" cy="2340610"/>
            <wp:effectExtent l="0" t="0" r="2540" b="254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352675" cy="2352675"/>
            <wp:effectExtent l="0" t="0" r="9525" b="9525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 安卓系统App下载二位码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5"/>
        <w:tblpPr w:leftFromText="180" w:rightFromText="180" w:vertAnchor="text" w:horzAnchor="page" w:tblpX="849" w:tblpY="313"/>
        <w:tblOverlap w:val="never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11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参数分类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1/3” 2.0M 逐行扫描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200万像素 1920（H）X 1080（V）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 xml:space="preserve">2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- 1/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镜头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5.1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18"/>
                <w:szCs w:val="18"/>
              </w:rPr>
              <w:t>68°（近端）/ 6.7°（</w:t>
            </w:r>
            <w:r>
              <w:rPr>
                <w:rFonts w:hint="eastAsia" w:ascii="Arial" w:hAnsi="Arial" w:eastAsia="华文细黑" w:cs="Arial"/>
                <w:color w:val="000000"/>
                <w:kern w:val="0"/>
                <w:sz w:val="18"/>
                <w:szCs w:val="18"/>
              </w:rPr>
              <w:t>远</w:t>
            </w:r>
            <w:r>
              <w:rPr>
                <w:rFonts w:ascii="Arial" w:hAnsi="Arial" w:eastAsia="华文细黑" w:cs="Arial"/>
                <w:color w:val="000000"/>
                <w:kern w:val="0"/>
                <w:sz w:val="18"/>
                <w:szCs w:val="18"/>
              </w:rPr>
              <w:t>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三种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功能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5/H.264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红外灯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42MIL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HTTP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NTP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IGMP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DHCP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UDP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SMTP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PPPoE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电源规格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吊装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BB5F44"/>
    <w:rsid w:val="0703799B"/>
    <w:rsid w:val="07FE4897"/>
    <w:rsid w:val="0FFE36A4"/>
    <w:rsid w:val="100A26CD"/>
    <w:rsid w:val="15A13849"/>
    <w:rsid w:val="16DA6EF4"/>
    <w:rsid w:val="186F5294"/>
    <w:rsid w:val="23291433"/>
    <w:rsid w:val="25DA13DA"/>
    <w:rsid w:val="2B1163EE"/>
    <w:rsid w:val="33214EDD"/>
    <w:rsid w:val="35F0545D"/>
    <w:rsid w:val="36BD4D8A"/>
    <w:rsid w:val="40DE2452"/>
    <w:rsid w:val="49F453E1"/>
    <w:rsid w:val="50850745"/>
    <w:rsid w:val="524B6B08"/>
    <w:rsid w:val="56385829"/>
    <w:rsid w:val="5DED38C8"/>
    <w:rsid w:val="60204940"/>
    <w:rsid w:val="64FE33F3"/>
    <w:rsid w:val="69AC5FD9"/>
    <w:rsid w:val="6C185DFF"/>
    <w:rsid w:val="75500B07"/>
    <w:rsid w:val="7A2F5E77"/>
    <w:rsid w:val="7AB07B2D"/>
    <w:rsid w:val="7AD572FB"/>
    <w:rsid w:val="7CAF16D2"/>
    <w:rsid w:val="7EB351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2017-09-02T02:30:14Z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